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Otázky - Státní závěrečná zkouška hlavní specializace pro obor Ekonomická analýza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Standardní průběh: Student si tahá dvě otázky – hlavní a vedlejší, každá by měla být z jiného okruhu. Student dostane 15 minut na přípravu a poté 15 minut na ústní zkoušku. Na hlavní otázce by při zkoušce měl strávit asi 10 minut a na vedlejší asi 5 minut. Při neshodě hodnocení komisí je možné vykonat na místě přezkoušení z nově vylosované otázky.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MT" w:cs="ArialMT" w:eastAsia="ArialMT" w:hAnsi="ArialMT"/>
          <w:b w:val="1"/>
          <w:sz w:val="18"/>
          <w:szCs w:val="18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Mikroekonomie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 Teorie spotřeby – pokročilá témata: nepřímá funkce užitku, výdajová funkce, dualita, Shephardovo</w:t>
      </w:r>
    </w:p>
    <w:p w:rsidR="00000000" w:rsidDel="00000000" w:rsidP="00000000" w:rsidRDefault="00000000" w:rsidRPr="00000000" w14:paraId="00000005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lemma a Hotellingovo lemma, Slutského rovnice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 Teorie výroby – pokročilá témata: nepřímá funkce zisku, Shephardovo lemma, nabídka výstupu, aplikace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Karush-Kuhn-Tuckerových podmínek a obálkových teorémů. 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3. Tržní rovnováha – rovnováha za dokonalé konkurence (definice, komparativní statika za pomocí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elasticit), Edgeworthův diagram a Pareto efektivní alokace.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4. Rozhodování za nejistoty – očekávaný užitek, averze k riziku, kvantifikace vztahu k riziku, preference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(indiferenční křivky)</w:t>
      </w:r>
    </w:p>
    <w:p w:rsidR="00000000" w:rsidDel="00000000" w:rsidP="00000000" w:rsidRDefault="00000000" w:rsidRPr="00000000" w14:paraId="0000000C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5. Asymetrické informace – adverzní selekce na trzích („trhy s citróny“, pojištění)</w:t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6. Asymetrické informace – signály (signaling)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7. Asymetrické informace – problém pána a správce, pobídky (incentive contracting)</w:t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8. Trhy s fyzickými aktivy – koncept ceny a renty a jejich vzájemný vztah, poptávka po službách aktiv</w:t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investice do aktiv, stálý stav a konvergence k němu</w:t>
      </w:r>
    </w:p>
    <w:p w:rsidR="00000000" w:rsidDel="00000000" w:rsidP="00000000" w:rsidRDefault="00000000" w:rsidRPr="00000000" w14:paraId="00000011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9. Beckerův model alokace času a produkce domácnosti</w:t>
      </w:r>
    </w:p>
    <w:p w:rsidR="00000000" w:rsidDel="00000000" w:rsidP="00000000" w:rsidRDefault="00000000" w:rsidRPr="00000000" w14:paraId="00000012">
      <w:pPr>
        <w:spacing w:after="280" w:before="280" w:lineRule="auto"/>
        <w:rPr>
          <w:rFonts w:ascii="ArialMT" w:cs="ArialMT" w:eastAsia="ArialMT" w:hAnsi="ArialM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MT" w:cs="ArialMT" w:eastAsia="ArialMT" w:hAnsi="ArialMT"/>
          <w:b w:val="1"/>
          <w:sz w:val="18"/>
          <w:szCs w:val="18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Kvantitativní metody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10. Identifikace kauzality – kauzalita vs. korelace, problematika odhadu kauzálního dopadu na datech získaných pozorováním (výběrová chyba), identifikace kauzality pomocí experimentů, experimenty v ekonomii</w:t>
      </w:r>
    </w:p>
    <w:p w:rsidR="00000000" w:rsidDel="00000000" w:rsidP="00000000" w:rsidRDefault="00000000" w:rsidRPr="00000000" w14:paraId="00000015">
      <w:pPr>
        <w:spacing w:after="120" w:before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11. Mnohonásobná regrese a metoda nejmenších čtverců – principy, předpoklady, volba funkční formy</w:t>
      </w:r>
    </w:p>
    <w:p w:rsidR="00000000" w:rsidDel="00000000" w:rsidP="00000000" w:rsidRDefault="00000000" w:rsidRPr="00000000" w14:paraId="00000016">
      <w:pPr>
        <w:spacing w:after="280" w:before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intepretace, předpovídané hodnoty, koeficient determinace</w:t>
      </w:r>
    </w:p>
    <w:p w:rsidR="00000000" w:rsidDel="00000000" w:rsidP="00000000" w:rsidRDefault="00000000" w:rsidRPr="00000000" w14:paraId="0000001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12. Panelová data – specifika, metody odhadu – fixní efekty, náhodné efekty</w:t>
      </w:r>
    </w:p>
    <w:p w:rsidR="00000000" w:rsidDel="00000000" w:rsidP="00000000" w:rsidRDefault="00000000" w:rsidRPr="00000000" w14:paraId="00000018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13. Binární proměnné – použití binárních proměnných jako vysvětlujících proměnných, interpretace; použití</w:t>
      </w:r>
    </w:p>
    <w:p w:rsidR="00000000" w:rsidDel="00000000" w:rsidP="00000000" w:rsidRDefault="00000000" w:rsidRPr="00000000" w14:paraId="00000019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binární proměnné jako vysvětlované proměnné (logit, probit, odhad pomocí metody nejmenších čtverců)</w:t>
      </w:r>
    </w:p>
    <w:p w:rsidR="00000000" w:rsidDel="00000000" w:rsidP="00000000" w:rsidRDefault="00000000" w:rsidRPr="00000000" w14:paraId="0000001A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14. Rozdíl v rozdílech (difference-in-differences) – princip, předpoklady, odhad, příklady použití</w:t>
      </w:r>
    </w:p>
    <w:p w:rsidR="00000000" w:rsidDel="00000000" w:rsidP="00000000" w:rsidRDefault="00000000" w:rsidRPr="00000000" w14:paraId="0000001B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 Další metody odhadu kauzálního efektu – instrumentální proměnné a regresní diskontinuita</w:t>
      </w:r>
    </w:p>
    <w:p w:rsidR="00000000" w:rsidDel="00000000" w:rsidP="00000000" w:rsidRDefault="00000000" w:rsidRPr="00000000" w14:paraId="0000001C">
      <w:pPr>
        <w:spacing w:after="280" w:before="280" w:lineRule="auto"/>
        <w:rPr>
          <w:rFonts w:ascii="ArialMT" w:cs="ArialMT" w:eastAsia="ArialMT" w:hAnsi="ArialM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MT" w:cs="ArialMT" w:eastAsia="ArialMT" w:hAnsi="ArialMT"/>
          <w:b w:val="1"/>
          <w:sz w:val="18"/>
          <w:szCs w:val="18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Teorie 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16. Racionalizace strategií – ostrá a slabá dominance, Nashova rovnováha: koncepty a jejich aplikace.</w:t>
      </w:r>
    </w:p>
    <w:p w:rsidR="00000000" w:rsidDel="00000000" w:rsidP="00000000" w:rsidRDefault="00000000" w:rsidRPr="00000000" w14:paraId="0000001F">
      <w:pPr>
        <w:spacing w:after="280" w:before="28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Rovnováhy v čistých a smíšených strategiích</w:t>
      </w:r>
    </w:p>
    <w:p w:rsidR="00000000" w:rsidDel="00000000" w:rsidP="00000000" w:rsidRDefault="00000000" w:rsidRPr="00000000" w14:paraId="00000020">
      <w:pPr>
        <w:spacing w:after="280" w:before="280"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17. Vyjednávání. Nashovo vyjednávání (principy řešení, modelování různé vyjednávací síly). Rubinsteinovo vyjednávání (principy, způsob řešení). Vzájemný vztah dvou předchozích typů vyjednávaní.</w:t>
      </w:r>
    </w:p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18. Bayesovské hry a asymetrická informace: Perfektní Bayesovská rovnováha a její aplikace.</w:t>
      </w:r>
    </w:p>
    <w:p w:rsidR="00000000" w:rsidDel="00000000" w:rsidP="00000000" w:rsidRDefault="00000000" w:rsidRPr="00000000" w14:paraId="00000022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19. Aukční teorie: základní koncepty a použití aukcí. Typy aukcí, FPA, SPA, explicitní formální řešení FPA</w:t>
      </w:r>
    </w:p>
    <w:p w:rsidR="00000000" w:rsidDel="00000000" w:rsidP="00000000" w:rsidRDefault="00000000" w:rsidRPr="00000000" w14:paraId="00000023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SPA pro jakoukoli distribuci hodnot. Teorém o shodných výnosech (revenue equivalence).</w:t>
      </w:r>
    </w:p>
    <w:p w:rsidR="00000000" w:rsidDel="00000000" w:rsidP="00000000" w:rsidRDefault="00000000" w:rsidRPr="00000000" w14:paraId="00000024">
      <w:pPr>
        <w:spacing w:after="280" w:before="280"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20. Cenová diskriminace druhého stupně. Intuitivní a formální popis základní analýzy situace. Informační renta, princip odhalení (revelation principle), spojitý případ. Aplikace pro smluvní pobídky (incentive contracting)</w:t>
      </w:r>
    </w:p>
    <w:p w:rsidR="00000000" w:rsidDel="00000000" w:rsidP="00000000" w:rsidRDefault="00000000" w:rsidRPr="00000000" w14:paraId="00000025">
      <w:pPr>
        <w:spacing w:after="280" w:before="28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21. Oligopol jako opakovaná hra; l „Spouštěcí strategie“ a udržitelnost nekalé kooperace. Trestání</w:t>
      </w:r>
    </w:p>
    <w:p w:rsidR="00000000" w:rsidDel="00000000" w:rsidP="00000000" w:rsidRDefault="00000000" w:rsidRPr="00000000" w14:paraId="00000026">
      <w:pPr>
        <w:spacing w:after="280" w:before="28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Cournotovou/Bertrandovou konkurencí. Odolnost proti opětovnému vyjednávání a strategie „cukru a biče“.</w:t>
      </w:r>
    </w:p>
    <w:p w:rsidR="00000000" w:rsidDel="00000000" w:rsidP="00000000" w:rsidRDefault="00000000" w:rsidRPr="00000000" w14:paraId="00000027">
      <w:pPr>
        <w:spacing w:after="280" w:before="280" w:line="240" w:lineRule="auto"/>
        <w:rPr>
          <w:rFonts w:ascii="ArialMT" w:cs="ArialMT" w:eastAsia="ArialMT" w:hAnsi="ArialM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D. Makroekonomie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22. Solowův model růstu I – základní předpoklady, BGP, zlaté pravidlo akumulace kapitálu, změny stálého stavu</w:t>
      </w:r>
    </w:p>
    <w:p w:rsidR="00000000" w:rsidDel="00000000" w:rsidP="00000000" w:rsidRDefault="00000000" w:rsidRPr="00000000" w14:paraId="0000002A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23. Solowův model růstu II – konvergence – teorie a empirie, problémy modelu a jejich řešení, růstové účetnictví</w:t>
      </w:r>
    </w:p>
    <w:p w:rsidR="00000000" w:rsidDel="00000000" w:rsidP="00000000" w:rsidRDefault="00000000" w:rsidRPr="00000000" w14:paraId="0000002B">
      <w:pPr>
        <w:spacing w:after="280" w:before="28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24. Ramsey-Cass-Koopmansův model  - předpoklady modelu, Eulerova rovnice, stálý stav, fázový diagram, fiskální politika v RCK modelu</w:t>
      </w:r>
    </w:p>
    <w:p w:rsidR="00000000" w:rsidDel="00000000" w:rsidP="00000000" w:rsidRDefault="00000000" w:rsidRPr="00000000" w14:paraId="0000002C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25. Diamondův OLG model - předpoklady, Eulerova rovnice, stálý stav, dynamická neefektivita, penzijní systémy v OLG modelu</w:t>
      </w:r>
    </w:p>
    <w:p w:rsidR="00000000" w:rsidDel="00000000" w:rsidP="00000000" w:rsidRDefault="00000000" w:rsidRPr="00000000" w14:paraId="0000002D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26. Model výzkumu a vývoje - předpoklady, stálý stav, problematika alokace zdrojů do R&amp;D sektoru</w:t>
      </w:r>
    </w:p>
    <w:p w:rsidR="00000000" w:rsidDel="00000000" w:rsidP="00000000" w:rsidRDefault="00000000" w:rsidRPr="00000000" w14:paraId="0000002E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27. Teorie spotřeby I - hypotéza permanentního důchodu, hypotéza náhodné procházky, empirická verifikace teorií spotřeby</w:t>
      </w:r>
    </w:p>
    <w:p w:rsidR="00000000" w:rsidDel="00000000" w:rsidP="00000000" w:rsidRDefault="00000000" w:rsidRPr="00000000" w14:paraId="0000002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28. Teorie spotřeby II – model C-CAPM, equity premium puzzle</w:t>
      </w:r>
    </w:p>
    <w:p w:rsidR="00000000" w:rsidDel="00000000" w:rsidP="00000000" w:rsidRDefault="00000000" w:rsidRPr="00000000" w14:paraId="00000030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29. Hospodářský cyklus a ekonomický růst - stylizovaná fakta a jejich vysvětlení</w:t>
      </w:r>
    </w:p>
    <w:p w:rsidR="00000000" w:rsidDel="00000000" w:rsidP="00000000" w:rsidRDefault="00000000" w:rsidRPr="00000000" w14:paraId="00000031">
      <w:pPr>
        <w:spacing w:after="280" w:before="280"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30. Model reálného hospodářského cyklu - předpoklady, postup řešení modelu, interpretace FOC, doporučení pro hospodářskou politiku, kritiky modelu</w:t>
      </w:r>
    </w:p>
    <w:p w:rsidR="00000000" w:rsidDel="00000000" w:rsidP="00000000" w:rsidRDefault="00000000" w:rsidRPr="00000000" w14:paraId="00000032">
      <w:pPr>
        <w:spacing w:after="280" w:before="280"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31. Klasický monetární model - předpoklady, řešení modelu, interpretace FOC, doporučení pro hospodářskou politiku, kritiky modelu</w:t>
      </w:r>
    </w:p>
    <w:p w:rsidR="00000000" w:rsidDel="00000000" w:rsidP="00000000" w:rsidRDefault="00000000" w:rsidRPr="00000000" w14:paraId="00000033">
      <w:pPr>
        <w:rPr>
          <w:rFonts w:ascii="ArialMT" w:cs="ArialMT" w:eastAsia="ArialMT" w:hAnsi="ArialMT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A43B5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hhme5c2YoyVmruwR2omJuLmhg==">AMUW2mUb6qUcKv8WuVHOK5UlP/05ZZEUGSUVYcZPtTzIQHlE+YoxOJAFc0UF2Mr/LCVPAPXgBO7mmLlYVi/RU7onw2vTFj5CDWlEs904KLT1wNjYVsAMMMA7lm0PQu5w+n3Epk4EF+Wx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2019-09-23T08:59:00Z</dcterms:created>
  <dc:creator>Helena Chytilová</dc:creator>
</cp:coreProperties>
</file>