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17.9.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Přednáška odpadá</w:t>
      </w:r>
      <w:r w:rsidRPr="002D7A81">
        <w:rPr>
          <w:sz w:val="20"/>
          <w:szCs w:val="20"/>
        </w:rPr>
        <w:tab/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 xml:space="preserve">24.9. 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 xml:space="preserve">Makroekonomické veličiny a principy 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1.10.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Domácí produkt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08.10.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Spotřeba, investice a rovnovážný produkt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15.10.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Peníze a poptávka po peněžních zůstatcích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Nabídka peněz a rovnováha na trhu peněz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22.10.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Bankovní soustava a multiplikace deposit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Agregátní poptávka – odvození a šoky ze strany poptávky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29.10.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 xml:space="preserve">Agregátní nabídka – potenciální produkt a </w:t>
      </w:r>
      <w:proofErr w:type="gramStart"/>
      <w:r w:rsidRPr="002D7A81">
        <w:rPr>
          <w:sz w:val="20"/>
          <w:szCs w:val="20"/>
        </w:rPr>
        <w:t>šoky z strany</w:t>
      </w:r>
      <w:proofErr w:type="gramEnd"/>
      <w:r w:rsidRPr="002D7A81">
        <w:rPr>
          <w:sz w:val="20"/>
          <w:szCs w:val="20"/>
        </w:rPr>
        <w:t xml:space="preserve"> nabídky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 xml:space="preserve">Model </w:t>
      </w:r>
      <w:proofErr w:type="spellStart"/>
      <w:r w:rsidRPr="002D7A81">
        <w:rPr>
          <w:sz w:val="20"/>
          <w:szCs w:val="20"/>
        </w:rPr>
        <w:t>ASxAD</w:t>
      </w:r>
      <w:proofErr w:type="spellEnd"/>
      <w:r w:rsidRPr="002D7A81">
        <w:rPr>
          <w:sz w:val="20"/>
          <w:szCs w:val="20"/>
        </w:rPr>
        <w:t xml:space="preserve"> a ekonomická rovnováha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5.11.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Hospodářský cyklus a růst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Finanční krize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Nezaměstnanost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12.11.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Inflace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proofErr w:type="spellStart"/>
      <w:r w:rsidRPr="002D7A81">
        <w:rPr>
          <w:sz w:val="20"/>
          <w:szCs w:val="20"/>
        </w:rPr>
        <w:t>Phillipsova</w:t>
      </w:r>
      <w:proofErr w:type="spellEnd"/>
      <w:r w:rsidRPr="002D7A81">
        <w:rPr>
          <w:sz w:val="20"/>
          <w:szCs w:val="20"/>
        </w:rPr>
        <w:t xml:space="preserve"> křivka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19.11.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Otevřená ekonomika – specializace a směna na základě absolutních a komparativních výhod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Měnový kurz a úroková parita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Parita kupní síly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26.11.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Platební bilance a dopady nerovnováhy na měnový kurz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Mezinárodní vytěsňovací efekt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3.12.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Měnová politika a její účinnost</w:t>
      </w:r>
    </w:p>
    <w:p w:rsidR="00000000" w:rsidRPr="002D7A81" w:rsidRDefault="002D7A81" w:rsidP="002D7A8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>10.12.</w:t>
      </w:r>
    </w:p>
    <w:p w:rsidR="00000000" w:rsidRPr="002D7A81" w:rsidRDefault="002D7A81" w:rsidP="002D7A8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2D7A81">
        <w:rPr>
          <w:sz w:val="20"/>
          <w:szCs w:val="20"/>
        </w:rPr>
        <w:t xml:space="preserve">Fiskální politika a rozpočet, vytěsňovací efekt veřejných investic, </w:t>
      </w:r>
      <w:proofErr w:type="spellStart"/>
      <w:r w:rsidRPr="002D7A81">
        <w:rPr>
          <w:sz w:val="20"/>
          <w:szCs w:val="20"/>
        </w:rPr>
        <w:t>Lafferova</w:t>
      </w:r>
      <w:proofErr w:type="spellEnd"/>
      <w:r w:rsidRPr="002D7A81">
        <w:rPr>
          <w:sz w:val="20"/>
          <w:szCs w:val="20"/>
        </w:rPr>
        <w:t xml:space="preserve"> křivka</w:t>
      </w:r>
    </w:p>
    <w:p w:rsidR="003C4F6A" w:rsidRPr="002D7A81" w:rsidRDefault="003C4F6A" w:rsidP="002D7A81">
      <w:pPr>
        <w:spacing w:after="0"/>
        <w:rPr>
          <w:sz w:val="20"/>
          <w:szCs w:val="20"/>
        </w:rPr>
      </w:pPr>
    </w:p>
    <w:sectPr w:rsidR="003C4F6A" w:rsidRPr="002D7A81" w:rsidSect="003C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2E5"/>
    <w:multiLevelType w:val="hybridMultilevel"/>
    <w:tmpl w:val="3A6CB9E4"/>
    <w:lvl w:ilvl="0" w:tplc="13BC85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C5CCE">
      <w:start w:val="13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A8C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05F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AAB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71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2D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4F5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2618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41A8C"/>
    <w:multiLevelType w:val="hybridMultilevel"/>
    <w:tmpl w:val="456C95C8"/>
    <w:lvl w:ilvl="0" w:tplc="ADDAFC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E50EA">
      <w:start w:val="13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20E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C1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B3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6AB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A39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880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61C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2D7A81"/>
    <w:rsid w:val="002D7A81"/>
    <w:rsid w:val="003C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F6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86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2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27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90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90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1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63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20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0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79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65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36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79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21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0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81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38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8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28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7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42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2019-09-09T14:19:00Z</dcterms:created>
  <dcterms:modified xsi:type="dcterms:W3CDTF">2019-09-09T14:22:00Z</dcterms:modified>
</cp:coreProperties>
</file>